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05E0" w14:textId="77777777" w:rsidR="001C4B34" w:rsidRDefault="00A0729D" w:rsidP="00A0729D">
      <w:pPr>
        <w:rPr>
          <w:sz w:val="56"/>
        </w:rPr>
      </w:pPr>
      <w:r w:rsidRPr="00A0729D">
        <w:rPr>
          <w:noProof/>
          <w:sz w:val="56"/>
          <w:lang w:eastAsia="en-GB"/>
        </w:rPr>
        <w:drawing>
          <wp:anchor distT="0" distB="0" distL="114300" distR="114300" simplePos="0" relativeHeight="251658240" behindDoc="0" locked="0" layoutInCell="1" allowOverlap="1" wp14:anchorId="5BBACCA0" wp14:editId="28490CF7">
            <wp:simplePos x="0" y="0"/>
            <wp:positionH relativeFrom="column">
              <wp:posOffset>0</wp:posOffset>
            </wp:positionH>
            <wp:positionV relativeFrom="paragraph">
              <wp:posOffset>0</wp:posOffset>
            </wp:positionV>
            <wp:extent cx="1278965" cy="1325054"/>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G-logo-PORTCULLI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8965" cy="1325054"/>
                    </a:xfrm>
                    <a:prstGeom prst="rect">
                      <a:avLst/>
                    </a:prstGeom>
                  </pic:spPr>
                </pic:pic>
              </a:graphicData>
            </a:graphic>
          </wp:anchor>
        </w:drawing>
      </w:r>
      <w:r w:rsidR="001C4B34">
        <w:rPr>
          <w:sz w:val="56"/>
        </w:rPr>
        <w:t>Parliamentary</w:t>
      </w:r>
    </w:p>
    <w:p w14:paraId="655D322C" w14:textId="77777777" w:rsidR="00A0729D" w:rsidRDefault="00A0729D" w:rsidP="00A0729D">
      <w:pPr>
        <w:rPr>
          <w:sz w:val="56"/>
        </w:rPr>
      </w:pPr>
      <w:r w:rsidRPr="00A0729D">
        <w:rPr>
          <w:sz w:val="56"/>
        </w:rPr>
        <w:t xml:space="preserve">All Party </w:t>
      </w:r>
      <w:r w:rsidR="001C4B34">
        <w:rPr>
          <w:sz w:val="56"/>
        </w:rPr>
        <w:t xml:space="preserve">                                                             </w:t>
      </w:r>
    </w:p>
    <w:p w14:paraId="435AACFB" w14:textId="77777777" w:rsidR="00431536" w:rsidRDefault="00A0729D" w:rsidP="00A0729D">
      <w:pPr>
        <w:rPr>
          <w:sz w:val="56"/>
        </w:rPr>
      </w:pPr>
      <w:r w:rsidRPr="00A0729D">
        <w:rPr>
          <w:sz w:val="56"/>
        </w:rPr>
        <w:t>Betting &amp; Gaming Group</w:t>
      </w:r>
    </w:p>
    <w:p w14:paraId="08AB01B6" w14:textId="0314086E" w:rsidR="00A0729D" w:rsidRDefault="00A0729D" w:rsidP="00A0729D">
      <w:pPr>
        <w:rPr>
          <w:sz w:val="56"/>
        </w:rPr>
      </w:pPr>
    </w:p>
    <w:p w14:paraId="32941796" w14:textId="26CFE724" w:rsidR="00CE0D2D" w:rsidRDefault="00CE0D2D" w:rsidP="00CE0D2D">
      <w:pPr>
        <w:jc w:val="center"/>
        <w:rPr>
          <w:sz w:val="56"/>
        </w:rPr>
      </w:pPr>
      <w:r>
        <w:rPr>
          <w:sz w:val="56"/>
        </w:rPr>
        <w:t>Press Release</w:t>
      </w:r>
    </w:p>
    <w:p w14:paraId="10E32A99" w14:textId="58299DE2" w:rsidR="00BD5989" w:rsidRDefault="00BD5989" w:rsidP="003264B6">
      <w:pPr>
        <w:pStyle w:val="Heading2"/>
        <w:jc w:val="center"/>
      </w:pPr>
      <w:r>
        <w:t xml:space="preserve">Embargoed until Midnight </w:t>
      </w:r>
      <w:r w:rsidR="00691B0E">
        <w:t>2</w:t>
      </w:r>
      <w:r w:rsidR="006B0119">
        <w:t>9</w:t>
      </w:r>
      <w:r>
        <w:t>/</w:t>
      </w:r>
      <w:r w:rsidR="00691B0E">
        <w:t>10</w:t>
      </w:r>
      <w:r>
        <w:t>/2</w:t>
      </w:r>
      <w:r w:rsidR="004F580B">
        <w:t>1</w:t>
      </w:r>
    </w:p>
    <w:p w14:paraId="6A858E98" w14:textId="642734A6" w:rsidR="00CE0D2D" w:rsidRDefault="00CE0D2D" w:rsidP="00A0729D">
      <w:pPr>
        <w:rPr>
          <w:sz w:val="56"/>
        </w:rPr>
      </w:pPr>
    </w:p>
    <w:p w14:paraId="4F1BB539" w14:textId="7AAAF0E1" w:rsidR="00CE0D2D" w:rsidRDefault="00CE0D2D" w:rsidP="00CE0D2D">
      <w:pPr>
        <w:pStyle w:val="Heading2"/>
        <w:rPr>
          <w:b/>
          <w:bCs/>
        </w:rPr>
      </w:pPr>
      <w:r>
        <w:rPr>
          <w:b/>
          <w:bCs/>
        </w:rPr>
        <w:t xml:space="preserve">The </w:t>
      </w:r>
      <w:r w:rsidRPr="00CE0D2D">
        <w:rPr>
          <w:b/>
          <w:bCs/>
        </w:rPr>
        <w:t xml:space="preserve">Parliamentary All Party Betting &amp; Gaming Group </w:t>
      </w:r>
      <w:r w:rsidR="00C21469">
        <w:rPr>
          <w:b/>
          <w:bCs/>
        </w:rPr>
        <w:t>extends the deadline of</w:t>
      </w:r>
      <w:r w:rsidRPr="00CE0D2D">
        <w:rPr>
          <w:b/>
          <w:bCs/>
        </w:rPr>
        <w:t xml:space="preserve"> its </w:t>
      </w:r>
      <w:bookmarkStart w:id="0" w:name="_Hlk80181591"/>
      <w:r w:rsidR="00644BA3" w:rsidRPr="00644BA3">
        <w:rPr>
          <w:b/>
          <w:bCs/>
        </w:rPr>
        <w:t>inquiry into the competence and effectiveness of the regulator of British gambling, the Gambling Commission</w:t>
      </w:r>
      <w:r w:rsidR="007927E7">
        <w:rPr>
          <w:b/>
          <w:bCs/>
        </w:rPr>
        <w:t xml:space="preserve"> (UKGC)</w:t>
      </w:r>
      <w:r w:rsidR="00644BA3" w:rsidRPr="00644BA3">
        <w:rPr>
          <w:b/>
          <w:bCs/>
        </w:rPr>
        <w:t>.</w:t>
      </w:r>
    </w:p>
    <w:bookmarkEnd w:id="0"/>
    <w:p w14:paraId="66068748" w14:textId="77777777" w:rsidR="00644BA3" w:rsidRPr="00644BA3" w:rsidRDefault="00644BA3" w:rsidP="00644BA3"/>
    <w:p w14:paraId="6035DC94" w14:textId="65F1CF29" w:rsidR="00CE0D2D" w:rsidRPr="00CE0D2D" w:rsidRDefault="00C21469" w:rsidP="00CE0D2D">
      <w:pPr>
        <w:pStyle w:val="Heading3"/>
      </w:pPr>
      <w:r>
        <w:t xml:space="preserve">Overwhelmed by the volume and severity of the evidence submitted to its </w:t>
      </w:r>
      <w:r w:rsidR="00644BA3">
        <w:t xml:space="preserve">investigation into the </w:t>
      </w:r>
      <w:r w:rsidR="00EF3F9D">
        <w:t xml:space="preserve">competence and effectiveness of the </w:t>
      </w:r>
      <w:r>
        <w:t xml:space="preserve">gambling </w:t>
      </w:r>
      <w:r w:rsidR="00644BA3">
        <w:t>industry’s regulator</w:t>
      </w:r>
      <w:r w:rsidR="007927E7">
        <w:t>, the UKGC</w:t>
      </w:r>
      <w:r>
        <w:t>, the Parliamentary All Party Betting &amp; Gaming Group has today extended the deadline for submissions from the 31</w:t>
      </w:r>
      <w:r w:rsidRPr="00C21469">
        <w:rPr>
          <w:vertAlign w:val="superscript"/>
        </w:rPr>
        <w:t>st</w:t>
      </w:r>
      <w:r>
        <w:t xml:space="preserve"> October to the 1</w:t>
      </w:r>
      <w:r w:rsidRPr="00C21469">
        <w:rPr>
          <w:vertAlign w:val="superscript"/>
        </w:rPr>
        <w:t>st</w:t>
      </w:r>
      <w:r>
        <w:t xml:space="preserve"> December 2021</w:t>
      </w:r>
      <w:r w:rsidR="008A382D">
        <w:t>.</w:t>
      </w:r>
      <w:r>
        <w:t xml:space="preserve"> Any</w:t>
      </w:r>
      <w:r w:rsidR="00CE0D2D">
        <w:t xml:space="preserve"> </w:t>
      </w:r>
      <w:r w:rsidR="00644BA3">
        <w:t xml:space="preserve">operators and their advisers </w:t>
      </w:r>
      <w:r>
        <w:t xml:space="preserve">who </w:t>
      </w:r>
      <w:r w:rsidR="003264B6">
        <w:t xml:space="preserve">are </w:t>
      </w:r>
      <w:r>
        <w:t xml:space="preserve">yet to submit their evidence are </w:t>
      </w:r>
      <w:r w:rsidR="00CE0D2D">
        <w:t>invited to contribute.</w:t>
      </w:r>
    </w:p>
    <w:p w14:paraId="0FBED599" w14:textId="6DCD31A6" w:rsidR="00CE0D2D" w:rsidRDefault="00CE0D2D" w:rsidP="00CE0D2D"/>
    <w:p w14:paraId="4AE095A1" w14:textId="63A26632" w:rsidR="003264B6" w:rsidRDefault="00CE0D2D" w:rsidP="00644BA3">
      <w:pPr>
        <w:rPr>
          <w:sz w:val="28"/>
          <w:szCs w:val="24"/>
        </w:rPr>
      </w:pPr>
      <w:r w:rsidRPr="00BD5989">
        <w:rPr>
          <w:b/>
          <w:bCs/>
          <w:sz w:val="28"/>
          <w:szCs w:val="24"/>
        </w:rPr>
        <w:t>Westminster, London</w:t>
      </w:r>
      <w:r w:rsidRPr="00BD5989">
        <w:rPr>
          <w:sz w:val="28"/>
          <w:szCs w:val="24"/>
        </w:rPr>
        <w:t>: Today, the Parliamentary All Party Betting &amp; Gaming Group</w:t>
      </w:r>
      <w:r w:rsidR="00BD5989" w:rsidRPr="00BD5989">
        <w:rPr>
          <w:sz w:val="28"/>
          <w:szCs w:val="24"/>
        </w:rPr>
        <w:t xml:space="preserve"> (APBGG)</w:t>
      </w:r>
      <w:r w:rsidRPr="00BD5989">
        <w:rPr>
          <w:sz w:val="28"/>
          <w:szCs w:val="24"/>
        </w:rPr>
        <w:t xml:space="preserve"> </w:t>
      </w:r>
      <w:r w:rsidR="00BD5989" w:rsidRPr="00BD5989">
        <w:rPr>
          <w:sz w:val="28"/>
          <w:szCs w:val="24"/>
        </w:rPr>
        <w:t xml:space="preserve">announced </w:t>
      </w:r>
      <w:r w:rsidR="00117734">
        <w:rPr>
          <w:sz w:val="28"/>
          <w:szCs w:val="24"/>
        </w:rPr>
        <w:t xml:space="preserve">that due to the amount of evidence being submitted and the seriousness of the alleged actions by the UKGC, it is extending the deadline of its </w:t>
      </w:r>
      <w:r w:rsidR="00644BA3" w:rsidRPr="00644BA3">
        <w:rPr>
          <w:sz w:val="28"/>
          <w:szCs w:val="24"/>
        </w:rPr>
        <w:t xml:space="preserve">inquiry </w:t>
      </w:r>
      <w:r w:rsidR="00117734">
        <w:rPr>
          <w:sz w:val="28"/>
          <w:szCs w:val="24"/>
        </w:rPr>
        <w:t>by another month</w:t>
      </w:r>
      <w:r w:rsidR="00644BA3" w:rsidRPr="00644BA3">
        <w:rPr>
          <w:sz w:val="28"/>
          <w:szCs w:val="24"/>
        </w:rPr>
        <w:t>.</w:t>
      </w:r>
      <w:r w:rsidR="00644BA3">
        <w:rPr>
          <w:sz w:val="28"/>
          <w:szCs w:val="24"/>
        </w:rPr>
        <w:t xml:space="preserve"> </w:t>
      </w:r>
      <w:r w:rsidR="00117734">
        <w:rPr>
          <w:sz w:val="28"/>
          <w:szCs w:val="24"/>
        </w:rPr>
        <w:t xml:space="preserve">The inquiry was initiated due to the All Party Group receiving </w:t>
      </w:r>
      <w:r w:rsidR="00E9314E">
        <w:rPr>
          <w:sz w:val="28"/>
          <w:szCs w:val="24"/>
        </w:rPr>
        <w:t xml:space="preserve">so many </w:t>
      </w:r>
      <w:r w:rsidR="00644BA3">
        <w:rPr>
          <w:sz w:val="28"/>
          <w:szCs w:val="24"/>
        </w:rPr>
        <w:t>criticisms of the regulator from members of the industry</w:t>
      </w:r>
      <w:r w:rsidR="00117734">
        <w:rPr>
          <w:sz w:val="28"/>
          <w:szCs w:val="24"/>
        </w:rPr>
        <w:t xml:space="preserve"> that </w:t>
      </w:r>
      <w:r w:rsidR="00644BA3">
        <w:rPr>
          <w:sz w:val="28"/>
          <w:szCs w:val="24"/>
        </w:rPr>
        <w:t xml:space="preserve">the Group felt that the comments made about the </w:t>
      </w:r>
      <w:r w:rsidR="007927E7">
        <w:rPr>
          <w:sz w:val="28"/>
          <w:szCs w:val="24"/>
        </w:rPr>
        <w:t xml:space="preserve">UKGC </w:t>
      </w:r>
      <w:r w:rsidR="00644BA3">
        <w:rPr>
          <w:sz w:val="28"/>
          <w:szCs w:val="24"/>
        </w:rPr>
        <w:t xml:space="preserve">in the reports issued by the Public Accounts Committee, National Audit Office and House of Lords </w:t>
      </w:r>
      <w:r w:rsidR="00644BA3" w:rsidRPr="00644BA3">
        <w:rPr>
          <w:sz w:val="28"/>
          <w:szCs w:val="24"/>
        </w:rPr>
        <w:t>Select Committee on the Social and Economic</w:t>
      </w:r>
      <w:r w:rsidR="00644BA3">
        <w:rPr>
          <w:sz w:val="28"/>
          <w:szCs w:val="24"/>
        </w:rPr>
        <w:t xml:space="preserve"> </w:t>
      </w:r>
      <w:r w:rsidR="00644BA3" w:rsidRPr="00644BA3">
        <w:rPr>
          <w:sz w:val="28"/>
          <w:szCs w:val="24"/>
        </w:rPr>
        <w:t>Impact of the Gambling Industry</w:t>
      </w:r>
      <w:r w:rsidR="00644BA3">
        <w:rPr>
          <w:sz w:val="28"/>
          <w:szCs w:val="24"/>
        </w:rPr>
        <w:t xml:space="preserve"> in 2020 did not cover the full breadth of the </w:t>
      </w:r>
      <w:r w:rsidR="008A382D">
        <w:rPr>
          <w:sz w:val="28"/>
          <w:szCs w:val="24"/>
        </w:rPr>
        <w:t>allegations they ha</w:t>
      </w:r>
      <w:r w:rsidR="00E9314E">
        <w:rPr>
          <w:sz w:val="28"/>
          <w:szCs w:val="24"/>
        </w:rPr>
        <w:t>d</w:t>
      </w:r>
      <w:r w:rsidR="008A382D">
        <w:rPr>
          <w:sz w:val="28"/>
          <w:szCs w:val="24"/>
        </w:rPr>
        <w:t xml:space="preserve"> heard made against</w:t>
      </w:r>
      <w:r w:rsidR="007927E7">
        <w:rPr>
          <w:sz w:val="28"/>
          <w:szCs w:val="24"/>
        </w:rPr>
        <w:t xml:space="preserve"> it</w:t>
      </w:r>
      <w:r w:rsidR="008A382D">
        <w:rPr>
          <w:sz w:val="28"/>
          <w:szCs w:val="24"/>
        </w:rPr>
        <w:t>.</w:t>
      </w:r>
      <w:r w:rsidR="00117734">
        <w:rPr>
          <w:sz w:val="28"/>
          <w:szCs w:val="24"/>
        </w:rPr>
        <w:t xml:space="preserve"> The </w:t>
      </w:r>
      <w:r w:rsidR="00E9314E">
        <w:rPr>
          <w:sz w:val="28"/>
          <w:szCs w:val="24"/>
        </w:rPr>
        <w:t xml:space="preserve">results of the </w:t>
      </w:r>
      <w:r w:rsidR="00117734">
        <w:rPr>
          <w:sz w:val="28"/>
          <w:szCs w:val="24"/>
        </w:rPr>
        <w:t>independent investigation into the collapse of Football Index further compounded the</w:t>
      </w:r>
      <w:r w:rsidR="00E9314E">
        <w:rPr>
          <w:sz w:val="28"/>
          <w:szCs w:val="24"/>
        </w:rPr>
        <w:t>ir</w:t>
      </w:r>
      <w:r w:rsidR="00117734">
        <w:rPr>
          <w:sz w:val="28"/>
          <w:szCs w:val="24"/>
        </w:rPr>
        <w:t xml:space="preserve"> view that the regulator was </w:t>
      </w:r>
      <w:r w:rsidR="00E9314E">
        <w:rPr>
          <w:sz w:val="28"/>
          <w:szCs w:val="24"/>
        </w:rPr>
        <w:t xml:space="preserve">definitely </w:t>
      </w:r>
      <w:r w:rsidR="00117734">
        <w:rPr>
          <w:sz w:val="28"/>
          <w:szCs w:val="24"/>
        </w:rPr>
        <w:t xml:space="preserve">not as ‘world beating’ as the regulator regularly </w:t>
      </w:r>
      <w:r w:rsidR="00652CD5">
        <w:rPr>
          <w:sz w:val="28"/>
          <w:szCs w:val="24"/>
        </w:rPr>
        <w:t xml:space="preserve">likes to </w:t>
      </w:r>
      <w:r w:rsidR="00117734">
        <w:rPr>
          <w:sz w:val="28"/>
          <w:szCs w:val="24"/>
        </w:rPr>
        <w:t>claim.</w:t>
      </w:r>
    </w:p>
    <w:p w14:paraId="6584D9C7" w14:textId="34A39F8E" w:rsidR="008A382D" w:rsidRDefault="008A382D" w:rsidP="00644BA3">
      <w:pPr>
        <w:rPr>
          <w:sz w:val="28"/>
          <w:szCs w:val="24"/>
        </w:rPr>
      </w:pPr>
    </w:p>
    <w:p w14:paraId="042CD285" w14:textId="080C4B44" w:rsidR="008A382D" w:rsidRDefault="008A382D" w:rsidP="00644BA3">
      <w:pPr>
        <w:rPr>
          <w:sz w:val="28"/>
          <w:szCs w:val="24"/>
        </w:rPr>
      </w:pPr>
      <w:r>
        <w:rPr>
          <w:sz w:val="28"/>
          <w:szCs w:val="24"/>
        </w:rPr>
        <w:lastRenderedPageBreak/>
        <w:t xml:space="preserve">The APBGG is inviting all UK licensed operators and their advisers </w:t>
      </w:r>
      <w:r w:rsidR="00E9314E">
        <w:rPr>
          <w:sz w:val="28"/>
          <w:szCs w:val="24"/>
        </w:rPr>
        <w:t xml:space="preserve">who haven’t yet done so, </w:t>
      </w:r>
      <w:r>
        <w:rPr>
          <w:sz w:val="28"/>
          <w:szCs w:val="24"/>
        </w:rPr>
        <w:t>to go to the website (</w:t>
      </w:r>
      <w:hyperlink r:id="rId9" w:history="1">
        <w:r w:rsidRPr="00922B3F">
          <w:rPr>
            <w:rStyle w:val="Hyperlink"/>
            <w:sz w:val="28"/>
            <w:szCs w:val="24"/>
          </w:rPr>
          <w:t>www.apbgg.org</w:t>
        </w:r>
      </w:hyperlink>
      <w:r>
        <w:rPr>
          <w:sz w:val="28"/>
          <w:szCs w:val="24"/>
        </w:rPr>
        <w:t>) and submit any evidence they have of the Gambling Commission acting in a way they feel is unacceptable of an industry regulator.</w:t>
      </w:r>
    </w:p>
    <w:p w14:paraId="4D1306C8" w14:textId="6DF7FACC" w:rsidR="008A382D" w:rsidRDefault="008A382D" w:rsidP="00644BA3">
      <w:pPr>
        <w:rPr>
          <w:sz w:val="28"/>
          <w:szCs w:val="24"/>
        </w:rPr>
      </w:pPr>
    </w:p>
    <w:p w14:paraId="5D5D63A3" w14:textId="1283E273" w:rsidR="008A382D" w:rsidRDefault="008A382D" w:rsidP="00644BA3">
      <w:pPr>
        <w:rPr>
          <w:sz w:val="28"/>
          <w:szCs w:val="24"/>
        </w:rPr>
      </w:pPr>
      <w:r>
        <w:rPr>
          <w:sz w:val="28"/>
          <w:szCs w:val="24"/>
        </w:rPr>
        <w:t xml:space="preserve">The APBGG have categorised the types of complaint that </w:t>
      </w:r>
      <w:r w:rsidR="009D4484">
        <w:rPr>
          <w:sz w:val="28"/>
          <w:szCs w:val="24"/>
        </w:rPr>
        <w:t>may be submitted:</w:t>
      </w:r>
    </w:p>
    <w:p w14:paraId="689320C8" w14:textId="6F5D82AD" w:rsidR="009D4484" w:rsidRDefault="009D4484" w:rsidP="00644BA3">
      <w:pPr>
        <w:rPr>
          <w:sz w:val="28"/>
          <w:szCs w:val="24"/>
        </w:rPr>
      </w:pPr>
    </w:p>
    <w:p w14:paraId="716B27DF" w14:textId="517B5011" w:rsidR="009D4484" w:rsidRDefault="009D4484" w:rsidP="009D4484">
      <w:pPr>
        <w:pStyle w:val="ListParagraph"/>
        <w:numPr>
          <w:ilvl w:val="0"/>
          <w:numId w:val="2"/>
        </w:numPr>
        <w:rPr>
          <w:sz w:val="28"/>
          <w:szCs w:val="24"/>
        </w:rPr>
      </w:pPr>
      <w:r>
        <w:rPr>
          <w:sz w:val="28"/>
          <w:szCs w:val="24"/>
        </w:rPr>
        <w:t xml:space="preserve">Where it is felt that the Gambling Commission has acted </w:t>
      </w:r>
      <w:r w:rsidRPr="009D4484">
        <w:rPr>
          <w:i/>
          <w:iCs/>
          <w:sz w:val="28"/>
          <w:szCs w:val="24"/>
        </w:rPr>
        <w:t>Ultra Vires</w:t>
      </w:r>
      <w:r>
        <w:rPr>
          <w:sz w:val="28"/>
          <w:szCs w:val="24"/>
        </w:rPr>
        <w:t xml:space="preserve"> – or beyond the powers of a regulator</w:t>
      </w:r>
    </w:p>
    <w:p w14:paraId="02BB7951" w14:textId="77777777" w:rsidR="009D4484" w:rsidRPr="009D4484" w:rsidRDefault="009D4484" w:rsidP="009D4484">
      <w:pPr>
        <w:rPr>
          <w:sz w:val="28"/>
          <w:szCs w:val="24"/>
        </w:rPr>
      </w:pPr>
    </w:p>
    <w:p w14:paraId="0132B49E" w14:textId="42A882D8" w:rsidR="009D4484" w:rsidRDefault="009D4484" w:rsidP="009D4484">
      <w:pPr>
        <w:pStyle w:val="ListParagraph"/>
        <w:numPr>
          <w:ilvl w:val="0"/>
          <w:numId w:val="2"/>
        </w:numPr>
        <w:rPr>
          <w:sz w:val="28"/>
          <w:szCs w:val="24"/>
        </w:rPr>
      </w:pPr>
      <w:r>
        <w:rPr>
          <w:sz w:val="28"/>
          <w:szCs w:val="24"/>
        </w:rPr>
        <w:t xml:space="preserve">Where it is felt that the Gambling Commission has acted in breach of the Regulators Code -  a code of conduct for industry regulators enforced by the </w:t>
      </w:r>
      <w:r w:rsidRPr="009D4484">
        <w:rPr>
          <w:sz w:val="28"/>
          <w:szCs w:val="24"/>
        </w:rPr>
        <w:t>Legislative and Regulatory Reform Act 2006</w:t>
      </w:r>
    </w:p>
    <w:p w14:paraId="6BB9A268" w14:textId="77777777" w:rsidR="009D4484" w:rsidRPr="009D4484" w:rsidRDefault="009D4484" w:rsidP="009D4484">
      <w:pPr>
        <w:pStyle w:val="ListParagraph"/>
        <w:rPr>
          <w:sz w:val="28"/>
          <w:szCs w:val="24"/>
        </w:rPr>
      </w:pPr>
    </w:p>
    <w:p w14:paraId="55B06904" w14:textId="276886D9" w:rsidR="009D4484" w:rsidRPr="009D4484" w:rsidRDefault="009D4484" w:rsidP="009D4484">
      <w:pPr>
        <w:pStyle w:val="ListParagraph"/>
        <w:numPr>
          <w:ilvl w:val="0"/>
          <w:numId w:val="2"/>
        </w:numPr>
        <w:rPr>
          <w:sz w:val="28"/>
          <w:szCs w:val="24"/>
        </w:rPr>
      </w:pPr>
      <w:r>
        <w:rPr>
          <w:sz w:val="28"/>
          <w:szCs w:val="24"/>
        </w:rPr>
        <w:t>Where it is felt that the Gambling Commission has provided to the industry a level of service that is either of poor quality and/or incompetently delivered to a level that brings into question its ability to adequately function</w:t>
      </w:r>
    </w:p>
    <w:p w14:paraId="39E5C113" w14:textId="7009F6F0" w:rsidR="003264B6" w:rsidRDefault="003264B6" w:rsidP="00BD5989">
      <w:pPr>
        <w:rPr>
          <w:sz w:val="28"/>
          <w:szCs w:val="24"/>
        </w:rPr>
      </w:pPr>
    </w:p>
    <w:p w14:paraId="495359A9" w14:textId="64B97C58" w:rsidR="009D4484" w:rsidRDefault="009D4484" w:rsidP="00BD5989">
      <w:pPr>
        <w:rPr>
          <w:sz w:val="28"/>
          <w:szCs w:val="24"/>
        </w:rPr>
      </w:pPr>
      <w:r>
        <w:rPr>
          <w:sz w:val="28"/>
          <w:szCs w:val="24"/>
        </w:rPr>
        <w:t xml:space="preserve">On the website, the APBGG provides examples of allegations </w:t>
      </w:r>
      <w:r w:rsidR="007927E7">
        <w:rPr>
          <w:sz w:val="28"/>
          <w:szCs w:val="24"/>
        </w:rPr>
        <w:t xml:space="preserve">made </w:t>
      </w:r>
      <w:r>
        <w:rPr>
          <w:sz w:val="28"/>
          <w:szCs w:val="24"/>
        </w:rPr>
        <w:t xml:space="preserve">against the </w:t>
      </w:r>
      <w:r w:rsidR="007927E7">
        <w:rPr>
          <w:sz w:val="28"/>
          <w:szCs w:val="24"/>
        </w:rPr>
        <w:t xml:space="preserve">UKGC </w:t>
      </w:r>
      <w:r>
        <w:rPr>
          <w:sz w:val="28"/>
          <w:szCs w:val="24"/>
        </w:rPr>
        <w:t xml:space="preserve">that they have heard over the last few years. The APBGG is particularly concerned that members of the industry may be too scared to publicly criticise the </w:t>
      </w:r>
      <w:r w:rsidR="007927E7">
        <w:rPr>
          <w:sz w:val="28"/>
          <w:szCs w:val="24"/>
        </w:rPr>
        <w:t xml:space="preserve">UKGC </w:t>
      </w:r>
      <w:r>
        <w:rPr>
          <w:sz w:val="28"/>
          <w:szCs w:val="24"/>
        </w:rPr>
        <w:t>due to its power over them and</w:t>
      </w:r>
      <w:r w:rsidR="007927E7">
        <w:rPr>
          <w:sz w:val="28"/>
          <w:szCs w:val="24"/>
        </w:rPr>
        <w:t xml:space="preserve"> that the only way to submit a complaint against the UKGC is to submit a complaint to the UKGC. The APBGG </w:t>
      </w:r>
      <w:r>
        <w:rPr>
          <w:sz w:val="28"/>
          <w:szCs w:val="24"/>
        </w:rPr>
        <w:t xml:space="preserve">is therefore providing </w:t>
      </w:r>
      <w:r w:rsidR="007927E7">
        <w:rPr>
          <w:sz w:val="28"/>
          <w:szCs w:val="24"/>
        </w:rPr>
        <w:t xml:space="preserve">a </w:t>
      </w:r>
      <w:r>
        <w:rPr>
          <w:sz w:val="28"/>
          <w:szCs w:val="24"/>
        </w:rPr>
        <w:t>platform for criticisms</w:t>
      </w:r>
      <w:r w:rsidR="007927E7">
        <w:rPr>
          <w:sz w:val="28"/>
          <w:szCs w:val="24"/>
        </w:rPr>
        <w:t xml:space="preserve"> and complaints </w:t>
      </w:r>
      <w:r>
        <w:rPr>
          <w:sz w:val="28"/>
          <w:szCs w:val="24"/>
        </w:rPr>
        <w:t>to be made in an anonymous manner. Industry members will have to declare themselves on their submissions so that the APBGG can verify their veracity but all submissions will then be anonymised.</w:t>
      </w:r>
      <w:r w:rsidR="00652CD5">
        <w:rPr>
          <w:sz w:val="28"/>
          <w:szCs w:val="24"/>
        </w:rPr>
        <w:t xml:space="preserve"> Anyone who submits evidence will be able to view the report pre-publication to confirm their comfort in the level of anonymity provided.</w:t>
      </w:r>
    </w:p>
    <w:p w14:paraId="27C3C775" w14:textId="1CC79EF6" w:rsidR="005C029A" w:rsidRDefault="005C029A" w:rsidP="00BD5989">
      <w:pPr>
        <w:rPr>
          <w:sz w:val="28"/>
          <w:szCs w:val="24"/>
        </w:rPr>
      </w:pPr>
    </w:p>
    <w:p w14:paraId="3129F379" w14:textId="0745B61E" w:rsidR="005C029A" w:rsidRPr="005C029A" w:rsidRDefault="005C029A" w:rsidP="00BD5989">
      <w:pPr>
        <w:rPr>
          <w:b/>
          <w:bCs/>
          <w:sz w:val="28"/>
          <w:szCs w:val="24"/>
          <w:u w:val="single"/>
        </w:rPr>
      </w:pPr>
      <w:r w:rsidRPr="005C029A">
        <w:rPr>
          <w:b/>
          <w:bCs/>
          <w:sz w:val="28"/>
          <w:szCs w:val="24"/>
          <w:u w:val="single"/>
        </w:rPr>
        <w:t xml:space="preserve">The </w:t>
      </w:r>
      <w:r w:rsidR="00E9314E">
        <w:rPr>
          <w:b/>
          <w:bCs/>
          <w:sz w:val="28"/>
          <w:szCs w:val="24"/>
          <w:u w:val="single"/>
        </w:rPr>
        <w:t xml:space="preserve">new </w:t>
      </w:r>
      <w:r w:rsidRPr="005C029A">
        <w:rPr>
          <w:b/>
          <w:bCs/>
          <w:sz w:val="28"/>
          <w:szCs w:val="24"/>
          <w:u w:val="single"/>
        </w:rPr>
        <w:t xml:space="preserve">deadline for submissions is 1st </w:t>
      </w:r>
      <w:r w:rsidR="00E9314E">
        <w:rPr>
          <w:b/>
          <w:bCs/>
          <w:sz w:val="28"/>
          <w:szCs w:val="24"/>
          <w:u w:val="single"/>
        </w:rPr>
        <w:t xml:space="preserve">December </w:t>
      </w:r>
      <w:r w:rsidRPr="005C029A">
        <w:rPr>
          <w:b/>
          <w:bCs/>
          <w:sz w:val="28"/>
          <w:szCs w:val="24"/>
          <w:u w:val="single"/>
        </w:rPr>
        <w:t>2021</w:t>
      </w:r>
    </w:p>
    <w:p w14:paraId="4B3F6C41" w14:textId="77777777" w:rsidR="009D4484" w:rsidRDefault="009D4484" w:rsidP="00BD5989">
      <w:pPr>
        <w:rPr>
          <w:sz w:val="28"/>
          <w:szCs w:val="24"/>
        </w:rPr>
      </w:pPr>
    </w:p>
    <w:p w14:paraId="08B8114C" w14:textId="076F1D90" w:rsidR="00E207C4" w:rsidRDefault="00E9314E" w:rsidP="00BD5989">
      <w:pPr>
        <w:rPr>
          <w:sz w:val="28"/>
          <w:szCs w:val="24"/>
        </w:rPr>
      </w:pPr>
      <w:r>
        <w:rPr>
          <w:sz w:val="28"/>
          <w:szCs w:val="24"/>
        </w:rPr>
        <w:t xml:space="preserve">The APBGG shall be </w:t>
      </w:r>
      <w:r w:rsidR="007927E7">
        <w:rPr>
          <w:sz w:val="28"/>
          <w:szCs w:val="24"/>
        </w:rPr>
        <w:t>writing a report</w:t>
      </w:r>
      <w:r w:rsidR="005D3966">
        <w:rPr>
          <w:sz w:val="28"/>
          <w:szCs w:val="24"/>
        </w:rPr>
        <w:t xml:space="preserve"> to </w:t>
      </w:r>
      <w:r w:rsidR="007927E7">
        <w:rPr>
          <w:sz w:val="28"/>
          <w:szCs w:val="24"/>
        </w:rPr>
        <w:t>present its findings</w:t>
      </w:r>
      <w:r w:rsidR="005D3966">
        <w:rPr>
          <w:sz w:val="28"/>
          <w:szCs w:val="24"/>
        </w:rPr>
        <w:t xml:space="preserve"> and will submit this to</w:t>
      </w:r>
      <w:r w:rsidR="009D4484">
        <w:rPr>
          <w:sz w:val="28"/>
          <w:szCs w:val="24"/>
        </w:rPr>
        <w:t>:</w:t>
      </w:r>
    </w:p>
    <w:p w14:paraId="2150CD42" w14:textId="33DF2D27" w:rsidR="009D4484" w:rsidRDefault="009D4484" w:rsidP="00BD5989">
      <w:pPr>
        <w:rPr>
          <w:sz w:val="28"/>
          <w:szCs w:val="24"/>
        </w:rPr>
      </w:pPr>
    </w:p>
    <w:p w14:paraId="6B23A6FA" w14:textId="349EB357" w:rsidR="009D4484" w:rsidRPr="009D4484" w:rsidRDefault="009D4484" w:rsidP="009D4484">
      <w:pPr>
        <w:pStyle w:val="ListParagraph"/>
        <w:numPr>
          <w:ilvl w:val="0"/>
          <w:numId w:val="3"/>
        </w:numPr>
        <w:rPr>
          <w:sz w:val="28"/>
          <w:szCs w:val="24"/>
        </w:rPr>
      </w:pPr>
      <w:r w:rsidRPr="009D4484">
        <w:rPr>
          <w:sz w:val="28"/>
          <w:szCs w:val="24"/>
        </w:rPr>
        <w:t>to the DCMS Review of the Gambling Act</w:t>
      </w:r>
    </w:p>
    <w:p w14:paraId="51C9C014" w14:textId="77777777" w:rsidR="009D4484" w:rsidRPr="009D4484" w:rsidRDefault="009D4484" w:rsidP="009D4484">
      <w:pPr>
        <w:rPr>
          <w:sz w:val="28"/>
          <w:szCs w:val="24"/>
        </w:rPr>
      </w:pPr>
    </w:p>
    <w:p w14:paraId="43DA9176" w14:textId="4752D9BC" w:rsidR="009D4484" w:rsidRPr="009D4484" w:rsidRDefault="009D4484" w:rsidP="009D4484">
      <w:pPr>
        <w:pStyle w:val="ListParagraph"/>
        <w:numPr>
          <w:ilvl w:val="0"/>
          <w:numId w:val="3"/>
        </w:numPr>
        <w:rPr>
          <w:sz w:val="28"/>
          <w:szCs w:val="24"/>
        </w:rPr>
      </w:pPr>
      <w:r w:rsidRPr="009D4484">
        <w:rPr>
          <w:sz w:val="28"/>
          <w:szCs w:val="24"/>
        </w:rPr>
        <w:t>to whichever Minister in BEIS holds responsibility for the oversight of industry regulators</w:t>
      </w:r>
    </w:p>
    <w:p w14:paraId="330B3FAC" w14:textId="77777777" w:rsidR="009D4484" w:rsidRPr="009D4484" w:rsidRDefault="009D4484" w:rsidP="009D4484">
      <w:pPr>
        <w:rPr>
          <w:sz w:val="28"/>
          <w:szCs w:val="24"/>
        </w:rPr>
      </w:pPr>
    </w:p>
    <w:p w14:paraId="5196813A" w14:textId="093C0FC4" w:rsidR="009D4484" w:rsidRPr="009D4484" w:rsidRDefault="005D3966" w:rsidP="009D4484">
      <w:pPr>
        <w:pStyle w:val="ListParagraph"/>
        <w:numPr>
          <w:ilvl w:val="0"/>
          <w:numId w:val="3"/>
        </w:numPr>
        <w:rPr>
          <w:sz w:val="28"/>
          <w:szCs w:val="24"/>
        </w:rPr>
      </w:pPr>
      <w:r>
        <w:rPr>
          <w:sz w:val="28"/>
          <w:szCs w:val="24"/>
        </w:rPr>
        <w:t xml:space="preserve">publication </w:t>
      </w:r>
      <w:r w:rsidR="009D4484" w:rsidRPr="009D4484">
        <w:rPr>
          <w:sz w:val="28"/>
          <w:szCs w:val="24"/>
        </w:rPr>
        <w:t>on th</w:t>
      </w:r>
      <w:r w:rsidR="007927E7">
        <w:rPr>
          <w:sz w:val="28"/>
          <w:szCs w:val="24"/>
        </w:rPr>
        <w:t>e APBGG</w:t>
      </w:r>
      <w:r w:rsidR="009D4484" w:rsidRPr="009D4484">
        <w:rPr>
          <w:sz w:val="28"/>
          <w:szCs w:val="24"/>
        </w:rPr>
        <w:t xml:space="preserve"> website to have the report distributed to whoever wants it</w:t>
      </w:r>
    </w:p>
    <w:p w14:paraId="15E85C73" w14:textId="77777777" w:rsidR="009D4484" w:rsidRPr="009D4484" w:rsidRDefault="009D4484" w:rsidP="009D4484">
      <w:pPr>
        <w:rPr>
          <w:sz w:val="28"/>
          <w:szCs w:val="24"/>
        </w:rPr>
      </w:pPr>
    </w:p>
    <w:p w14:paraId="13D3F249" w14:textId="1890C179" w:rsidR="009D4484" w:rsidRPr="009D4484" w:rsidRDefault="009D4484" w:rsidP="009D4484">
      <w:pPr>
        <w:pStyle w:val="ListParagraph"/>
        <w:numPr>
          <w:ilvl w:val="0"/>
          <w:numId w:val="3"/>
        </w:numPr>
        <w:rPr>
          <w:sz w:val="28"/>
          <w:szCs w:val="24"/>
        </w:rPr>
      </w:pPr>
      <w:r w:rsidRPr="009D4484">
        <w:rPr>
          <w:sz w:val="28"/>
          <w:szCs w:val="24"/>
        </w:rPr>
        <w:t xml:space="preserve">the CEO of the Gambling Commission </w:t>
      </w:r>
      <w:r w:rsidR="005D3966">
        <w:rPr>
          <w:sz w:val="28"/>
          <w:szCs w:val="24"/>
        </w:rPr>
        <w:t xml:space="preserve">who has agreed </w:t>
      </w:r>
      <w:r w:rsidRPr="009D4484">
        <w:rPr>
          <w:sz w:val="28"/>
          <w:szCs w:val="24"/>
        </w:rPr>
        <w:t>to attend a</w:t>
      </w:r>
      <w:r w:rsidR="00DF4AF0">
        <w:rPr>
          <w:sz w:val="28"/>
          <w:szCs w:val="24"/>
        </w:rPr>
        <w:t>n</w:t>
      </w:r>
      <w:r w:rsidRPr="009D4484">
        <w:rPr>
          <w:sz w:val="28"/>
          <w:szCs w:val="24"/>
        </w:rPr>
        <w:t xml:space="preserve"> invited industry audience meeting of the Group to respond to the report.</w:t>
      </w:r>
    </w:p>
    <w:p w14:paraId="00CAC1C3" w14:textId="7D77F66E" w:rsidR="00E207C4" w:rsidRDefault="00E207C4" w:rsidP="00BD5989">
      <w:pPr>
        <w:rPr>
          <w:sz w:val="28"/>
          <w:szCs w:val="24"/>
        </w:rPr>
      </w:pPr>
    </w:p>
    <w:p w14:paraId="7E35DAAF" w14:textId="4C773560" w:rsidR="00E207C4" w:rsidRDefault="00E207C4" w:rsidP="00BD5989">
      <w:pPr>
        <w:rPr>
          <w:sz w:val="28"/>
          <w:szCs w:val="24"/>
        </w:rPr>
      </w:pPr>
      <w:r>
        <w:rPr>
          <w:sz w:val="28"/>
          <w:szCs w:val="24"/>
        </w:rPr>
        <w:t xml:space="preserve">Upon </w:t>
      </w:r>
      <w:r w:rsidR="005D3966">
        <w:rPr>
          <w:sz w:val="28"/>
          <w:szCs w:val="24"/>
        </w:rPr>
        <w:t xml:space="preserve">extending </w:t>
      </w:r>
      <w:r>
        <w:rPr>
          <w:sz w:val="28"/>
          <w:szCs w:val="24"/>
        </w:rPr>
        <w:t>the</w:t>
      </w:r>
      <w:r w:rsidR="007927E7">
        <w:rPr>
          <w:sz w:val="28"/>
          <w:szCs w:val="24"/>
        </w:rPr>
        <w:t xml:space="preserve"> </w:t>
      </w:r>
      <w:r w:rsidR="005D3966">
        <w:rPr>
          <w:sz w:val="28"/>
          <w:szCs w:val="24"/>
        </w:rPr>
        <w:t xml:space="preserve">deadline of the </w:t>
      </w:r>
      <w:r w:rsidR="007927E7">
        <w:rPr>
          <w:sz w:val="28"/>
          <w:szCs w:val="24"/>
        </w:rPr>
        <w:t>Investigation</w:t>
      </w:r>
      <w:r>
        <w:rPr>
          <w:sz w:val="28"/>
          <w:szCs w:val="24"/>
        </w:rPr>
        <w:t xml:space="preserve">, </w:t>
      </w:r>
      <w:r w:rsidR="007927E7">
        <w:rPr>
          <w:sz w:val="28"/>
          <w:szCs w:val="24"/>
        </w:rPr>
        <w:t xml:space="preserve">Scott Benton </w:t>
      </w:r>
      <w:r>
        <w:rPr>
          <w:sz w:val="28"/>
          <w:szCs w:val="24"/>
        </w:rPr>
        <w:t xml:space="preserve">MP, Co-Chair of the </w:t>
      </w:r>
      <w:r w:rsidRPr="00E207C4">
        <w:rPr>
          <w:sz w:val="28"/>
          <w:szCs w:val="24"/>
        </w:rPr>
        <w:t>Parliamentary All Party Betting &amp; Gaming Group</w:t>
      </w:r>
      <w:r>
        <w:rPr>
          <w:sz w:val="28"/>
          <w:szCs w:val="24"/>
        </w:rPr>
        <w:t xml:space="preserve"> said:</w:t>
      </w:r>
    </w:p>
    <w:p w14:paraId="38D020D8" w14:textId="2388C5A7" w:rsidR="00E207C4" w:rsidRDefault="00E207C4" w:rsidP="00BD5989">
      <w:pPr>
        <w:rPr>
          <w:sz w:val="28"/>
          <w:szCs w:val="24"/>
        </w:rPr>
      </w:pPr>
    </w:p>
    <w:p w14:paraId="696C50FD" w14:textId="3489E6D7" w:rsidR="00387F17" w:rsidRDefault="00E207C4" w:rsidP="005D3966">
      <w:pPr>
        <w:ind w:left="720"/>
        <w:rPr>
          <w:sz w:val="28"/>
          <w:szCs w:val="24"/>
        </w:rPr>
      </w:pPr>
      <w:r>
        <w:rPr>
          <w:sz w:val="28"/>
          <w:szCs w:val="24"/>
        </w:rPr>
        <w:t>‘</w:t>
      </w:r>
      <w:r w:rsidR="005D3966">
        <w:rPr>
          <w:sz w:val="28"/>
          <w:szCs w:val="24"/>
        </w:rPr>
        <w:t xml:space="preserve">We have been shocked by two things since we launched this investigation, the sheer scale and severity of evidence that has been submitted </w:t>
      </w:r>
      <w:r w:rsidR="00652CD5">
        <w:rPr>
          <w:sz w:val="28"/>
          <w:szCs w:val="24"/>
        </w:rPr>
        <w:t xml:space="preserve">to us </w:t>
      </w:r>
      <w:r w:rsidR="005D3966">
        <w:rPr>
          <w:sz w:val="28"/>
          <w:szCs w:val="24"/>
        </w:rPr>
        <w:t>and the abject terror that the industry has of recriminations by the regulator</w:t>
      </w:r>
      <w:r w:rsidR="00652CD5">
        <w:rPr>
          <w:sz w:val="28"/>
          <w:szCs w:val="24"/>
        </w:rPr>
        <w:t>. Much of our efforts so far have been of assuring operators and their advisors of their anonymity. Without wishing to pre-judge the outcome of our investigation it does appear that this regulator has not been acting like any normal regulator for quite some time.</w:t>
      </w:r>
    </w:p>
    <w:p w14:paraId="77EB61C4" w14:textId="77777777" w:rsidR="00387F17" w:rsidRDefault="00387F17" w:rsidP="005D3966">
      <w:pPr>
        <w:ind w:left="720"/>
        <w:rPr>
          <w:sz w:val="28"/>
          <w:szCs w:val="24"/>
        </w:rPr>
      </w:pPr>
    </w:p>
    <w:p w14:paraId="239EB82A" w14:textId="296986C5" w:rsidR="00A772C7" w:rsidRDefault="00387F17" w:rsidP="005D3966">
      <w:pPr>
        <w:ind w:left="720"/>
        <w:rPr>
          <w:sz w:val="28"/>
          <w:szCs w:val="24"/>
        </w:rPr>
      </w:pPr>
      <w:r>
        <w:rPr>
          <w:sz w:val="28"/>
          <w:szCs w:val="24"/>
        </w:rPr>
        <w:t xml:space="preserve">I would like to take this opportunity to thank those who have submitted evidence of </w:t>
      </w:r>
      <w:r w:rsidR="00652CD5">
        <w:rPr>
          <w:sz w:val="28"/>
          <w:szCs w:val="24"/>
        </w:rPr>
        <w:t xml:space="preserve">what is showing to be numerous examples of </w:t>
      </w:r>
      <w:r>
        <w:rPr>
          <w:sz w:val="28"/>
          <w:szCs w:val="24"/>
        </w:rPr>
        <w:t>often incredibly tortuous</w:t>
      </w:r>
      <w:r w:rsidR="00DF4AF0">
        <w:rPr>
          <w:sz w:val="28"/>
          <w:szCs w:val="24"/>
        </w:rPr>
        <w:t xml:space="preserve">, </w:t>
      </w:r>
      <w:r w:rsidR="00652CD5">
        <w:rPr>
          <w:sz w:val="28"/>
          <w:szCs w:val="24"/>
        </w:rPr>
        <w:t>arbitrary</w:t>
      </w:r>
      <w:r>
        <w:rPr>
          <w:sz w:val="28"/>
          <w:szCs w:val="24"/>
        </w:rPr>
        <w:t xml:space="preserve"> and expensive dealings with the UKGC and reiterate our promise of absolute anonymity to any remaining operators or advisors to submit their </w:t>
      </w:r>
      <w:r w:rsidR="00652CD5">
        <w:rPr>
          <w:sz w:val="28"/>
          <w:szCs w:val="24"/>
        </w:rPr>
        <w:t>experiences without any fear of retribution</w:t>
      </w:r>
      <w:r>
        <w:rPr>
          <w:sz w:val="28"/>
          <w:szCs w:val="24"/>
        </w:rPr>
        <w:t>.</w:t>
      </w:r>
      <w:r w:rsidR="00652CD5">
        <w:rPr>
          <w:sz w:val="28"/>
          <w:szCs w:val="24"/>
        </w:rPr>
        <w:t xml:space="preserve"> As a Group we stand wholeheartedly behind the British gambling industry’s desire to be well regulated by a competent and fair regulator.’</w:t>
      </w:r>
    </w:p>
    <w:p w14:paraId="32B25EF2" w14:textId="7FF1373D" w:rsidR="005D3966" w:rsidRDefault="005D3966" w:rsidP="005D3966">
      <w:pPr>
        <w:ind w:left="720"/>
        <w:rPr>
          <w:sz w:val="28"/>
          <w:szCs w:val="24"/>
        </w:rPr>
      </w:pPr>
    </w:p>
    <w:p w14:paraId="5BD3CF1E" w14:textId="77777777" w:rsidR="00A772C7" w:rsidRPr="00A772C7" w:rsidRDefault="00A772C7" w:rsidP="00A772C7">
      <w:pPr>
        <w:rPr>
          <w:sz w:val="28"/>
          <w:szCs w:val="24"/>
        </w:rPr>
      </w:pPr>
      <w:r w:rsidRPr="00A772C7">
        <w:rPr>
          <w:sz w:val="28"/>
          <w:szCs w:val="24"/>
        </w:rPr>
        <w:t>The Parliamentary All-Party Betting &amp; Gaming Group was set up by a group of Parliamentarians, who had taken part in the numerous debates on what would become the Gambling Act 2005. They wished to continue their interest in the British gambling industry and have over the years become respected as some of the most knowledgeable Parliamentarians on the subject.</w:t>
      </w:r>
    </w:p>
    <w:p w14:paraId="67BD8E0F" w14:textId="77777777" w:rsidR="00A772C7" w:rsidRPr="00A772C7" w:rsidRDefault="00A772C7" w:rsidP="00A772C7">
      <w:pPr>
        <w:rPr>
          <w:sz w:val="28"/>
          <w:szCs w:val="24"/>
        </w:rPr>
      </w:pPr>
    </w:p>
    <w:p w14:paraId="3039BBF8" w14:textId="2A4016B2" w:rsidR="00A772C7" w:rsidRDefault="00A772C7" w:rsidP="00A772C7">
      <w:pPr>
        <w:rPr>
          <w:sz w:val="28"/>
          <w:szCs w:val="24"/>
        </w:rPr>
      </w:pPr>
      <w:r w:rsidRPr="00A772C7">
        <w:rPr>
          <w:sz w:val="28"/>
          <w:szCs w:val="24"/>
        </w:rPr>
        <w:t>Members of the Group are often the main contributors to any gambling debate in either House and their views are highly regarded in Westminster, Whitehall and Downing Street. The Group maintains a view that gambling should be legal and well-regulated but beyond that, encompasses a wide spectrum of beliefs into the extent and scope of gambling provision that should be allowed. Above all the Group wishes to engage with the stakeholders in the UK gambling industry, learn from them to educate the debate, while maintaining an independence of views.</w:t>
      </w:r>
    </w:p>
    <w:p w14:paraId="77B37152" w14:textId="3A0F3BA5" w:rsidR="00662203" w:rsidRDefault="00662203" w:rsidP="00A772C7">
      <w:pPr>
        <w:rPr>
          <w:sz w:val="28"/>
          <w:szCs w:val="24"/>
        </w:rPr>
      </w:pPr>
    </w:p>
    <w:p w14:paraId="564D3913" w14:textId="46D056CA" w:rsidR="00A772C7" w:rsidRPr="00A772C7" w:rsidRDefault="00A772C7" w:rsidP="00A772C7">
      <w:pPr>
        <w:rPr>
          <w:b/>
          <w:bCs/>
          <w:sz w:val="28"/>
          <w:szCs w:val="24"/>
        </w:rPr>
      </w:pPr>
      <w:r w:rsidRPr="00A772C7">
        <w:rPr>
          <w:b/>
          <w:bCs/>
          <w:sz w:val="28"/>
          <w:szCs w:val="24"/>
        </w:rPr>
        <w:t>Notes for Editors:</w:t>
      </w:r>
    </w:p>
    <w:p w14:paraId="419E6CA8" w14:textId="007D1F90" w:rsidR="00A772C7" w:rsidRDefault="00A772C7" w:rsidP="00A772C7">
      <w:pPr>
        <w:rPr>
          <w:sz w:val="28"/>
          <w:szCs w:val="24"/>
        </w:rPr>
      </w:pPr>
    </w:p>
    <w:p w14:paraId="5B30871E" w14:textId="39569319" w:rsidR="00A772C7" w:rsidRDefault="00A772C7" w:rsidP="00A772C7">
      <w:pPr>
        <w:pStyle w:val="ListParagraph"/>
        <w:numPr>
          <w:ilvl w:val="0"/>
          <w:numId w:val="1"/>
        </w:numPr>
        <w:rPr>
          <w:sz w:val="28"/>
          <w:szCs w:val="24"/>
        </w:rPr>
      </w:pPr>
      <w:r w:rsidRPr="00A772C7">
        <w:rPr>
          <w:sz w:val="28"/>
          <w:szCs w:val="24"/>
        </w:rPr>
        <w:t>This is not an official press release of the House of Commons or the House of Lords. It has not been approved by either House or its Committees. All-Party Parliamentary Groups are informal groups of Members of both Houses with a common interest in particular issues.</w:t>
      </w:r>
    </w:p>
    <w:p w14:paraId="298108CE" w14:textId="2A94D131" w:rsidR="005D3966" w:rsidRDefault="005D3966" w:rsidP="00A772C7">
      <w:pPr>
        <w:pStyle w:val="ListParagraph"/>
        <w:numPr>
          <w:ilvl w:val="0"/>
          <w:numId w:val="1"/>
        </w:numPr>
        <w:rPr>
          <w:sz w:val="28"/>
          <w:szCs w:val="24"/>
        </w:rPr>
      </w:pPr>
      <w:r>
        <w:rPr>
          <w:sz w:val="28"/>
          <w:szCs w:val="24"/>
        </w:rPr>
        <w:lastRenderedPageBreak/>
        <w:t xml:space="preserve">Press enquiries should be made through the relevant part of the website: </w:t>
      </w:r>
      <w:r w:rsidRPr="005D3966">
        <w:rPr>
          <w:sz w:val="28"/>
          <w:szCs w:val="24"/>
        </w:rPr>
        <w:t>https://www.apbgg.org/press-enquiries</w:t>
      </w:r>
    </w:p>
    <w:p w14:paraId="2D2F091B" w14:textId="146CB5A4" w:rsidR="00A772C7" w:rsidRDefault="00A772C7" w:rsidP="00A772C7">
      <w:pPr>
        <w:pStyle w:val="ListParagraph"/>
        <w:numPr>
          <w:ilvl w:val="0"/>
          <w:numId w:val="1"/>
        </w:numPr>
        <w:rPr>
          <w:sz w:val="28"/>
          <w:szCs w:val="24"/>
        </w:rPr>
      </w:pPr>
      <w:r w:rsidRPr="00A772C7">
        <w:rPr>
          <w:sz w:val="28"/>
          <w:szCs w:val="24"/>
        </w:rPr>
        <w:t>Contact details for the Parliamentary All Party Betting &amp; Gaming Group</w:t>
      </w:r>
      <w:r>
        <w:rPr>
          <w:sz w:val="28"/>
          <w:szCs w:val="24"/>
        </w:rPr>
        <w:t xml:space="preserve"> are</w:t>
      </w:r>
      <w:r w:rsidR="00662203">
        <w:rPr>
          <w:sz w:val="28"/>
          <w:szCs w:val="24"/>
        </w:rPr>
        <w:t>:</w:t>
      </w:r>
    </w:p>
    <w:p w14:paraId="37D607FC" w14:textId="0D36D7FF" w:rsidR="00662203" w:rsidRDefault="00662203" w:rsidP="00662203">
      <w:pPr>
        <w:rPr>
          <w:sz w:val="28"/>
          <w:szCs w:val="24"/>
        </w:rPr>
      </w:pPr>
    </w:p>
    <w:p w14:paraId="67E99955" w14:textId="77777777" w:rsidR="00662203" w:rsidRPr="00662203" w:rsidRDefault="00662203" w:rsidP="00662203">
      <w:pPr>
        <w:ind w:left="360"/>
        <w:rPr>
          <w:sz w:val="28"/>
          <w:szCs w:val="24"/>
        </w:rPr>
      </w:pPr>
      <w:r w:rsidRPr="00662203">
        <w:rPr>
          <w:sz w:val="28"/>
          <w:szCs w:val="24"/>
        </w:rPr>
        <w:t>Public Enquiry Point:</w:t>
      </w:r>
    </w:p>
    <w:p w14:paraId="07AC4652" w14:textId="77777777" w:rsidR="00662203" w:rsidRPr="00662203" w:rsidRDefault="00662203" w:rsidP="00662203">
      <w:pPr>
        <w:ind w:left="360"/>
        <w:rPr>
          <w:sz w:val="28"/>
          <w:szCs w:val="24"/>
        </w:rPr>
      </w:pPr>
    </w:p>
    <w:p w14:paraId="7712759A" w14:textId="77777777" w:rsidR="00662203" w:rsidRPr="00662203" w:rsidRDefault="00662203" w:rsidP="00662203">
      <w:pPr>
        <w:ind w:left="360"/>
        <w:rPr>
          <w:sz w:val="28"/>
          <w:szCs w:val="24"/>
        </w:rPr>
      </w:pPr>
      <w:r w:rsidRPr="00662203">
        <w:rPr>
          <w:sz w:val="28"/>
          <w:szCs w:val="24"/>
        </w:rPr>
        <w:t>Steve Donoughue</w:t>
      </w:r>
    </w:p>
    <w:p w14:paraId="1A368F88" w14:textId="77777777" w:rsidR="00662203" w:rsidRPr="00662203" w:rsidRDefault="00662203" w:rsidP="00662203">
      <w:pPr>
        <w:ind w:left="360"/>
        <w:rPr>
          <w:sz w:val="28"/>
          <w:szCs w:val="24"/>
        </w:rPr>
      </w:pPr>
    </w:p>
    <w:p w14:paraId="3CBA5623" w14:textId="747412B9" w:rsidR="00662203" w:rsidRPr="00662203" w:rsidRDefault="00662203" w:rsidP="00662203">
      <w:pPr>
        <w:ind w:left="360"/>
        <w:rPr>
          <w:sz w:val="28"/>
          <w:szCs w:val="24"/>
        </w:rPr>
      </w:pPr>
      <w:r w:rsidRPr="00662203">
        <w:rPr>
          <w:sz w:val="28"/>
          <w:szCs w:val="24"/>
        </w:rPr>
        <w:t xml:space="preserve">Email: </w:t>
      </w:r>
      <w:r w:rsidR="007927E7">
        <w:rPr>
          <w:sz w:val="28"/>
          <w:szCs w:val="24"/>
        </w:rPr>
        <w:t>sdonoughue@gamblingconsultant.co.uk</w:t>
      </w:r>
    </w:p>
    <w:p w14:paraId="5387441F" w14:textId="77777777" w:rsidR="00662203" w:rsidRPr="00662203" w:rsidRDefault="00662203" w:rsidP="00662203">
      <w:pPr>
        <w:ind w:left="360"/>
        <w:rPr>
          <w:sz w:val="28"/>
          <w:szCs w:val="24"/>
        </w:rPr>
      </w:pPr>
    </w:p>
    <w:p w14:paraId="074D3713" w14:textId="77777777" w:rsidR="00662203" w:rsidRPr="00662203" w:rsidRDefault="00662203" w:rsidP="00662203">
      <w:pPr>
        <w:ind w:left="360"/>
        <w:rPr>
          <w:sz w:val="28"/>
          <w:szCs w:val="24"/>
        </w:rPr>
      </w:pPr>
    </w:p>
    <w:p w14:paraId="38469744" w14:textId="77777777" w:rsidR="00662203" w:rsidRPr="00662203" w:rsidRDefault="00662203" w:rsidP="00662203">
      <w:pPr>
        <w:ind w:left="360"/>
        <w:rPr>
          <w:sz w:val="28"/>
          <w:szCs w:val="24"/>
        </w:rPr>
      </w:pPr>
      <w:r w:rsidRPr="00662203">
        <w:rPr>
          <w:sz w:val="28"/>
          <w:szCs w:val="24"/>
        </w:rPr>
        <w:t>Parliamentary Registered Contact:</w:t>
      </w:r>
    </w:p>
    <w:p w14:paraId="0725CA7F" w14:textId="77777777" w:rsidR="00662203" w:rsidRPr="00662203" w:rsidRDefault="00662203" w:rsidP="00662203">
      <w:pPr>
        <w:ind w:left="360"/>
        <w:rPr>
          <w:sz w:val="28"/>
          <w:szCs w:val="24"/>
        </w:rPr>
      </w:pPr>
    </w:p>
    <w:p w14:paraId="4FD625DB" w14:textId="217D15FE" w:rsidR="00662203" w:rsidRPr="00662203" w:rsidRDefault="00662203" w:rsidP="00662203">
      <w:pPr>
        <w:ind w:left="360"/>
        <w:rPr>
          <w:sz w:val="28"/>
          <w:szCs w:val="24"/>
        </w:rPr>
      </w:pPr>
      <w:r w:rsidRPr="00662203">
        <w:rPr>
          <w:sz w:val="28"/>
          <w:szCs w:val="24"/>
        </w:rPr>
        <w:t xml:space="preserve">Mr </w:t>
      </w:r>
      <w:r w:rsidR="00291106">
        <w:rPr>
          <w:sz w:val="28"/>
          <w:szCs w:val="24"/>
        </w:rPr>
        <w:t>Scott Benton</w:t>
      </w:r>
      <w:r w:rsidRPr="00662203">
        <w:rPr>
          <w:sz w:val="28"/>
          <w:szCs w:val="24"/>
        </w:rPr>
        <w:t xml:space="preserve"> MP</w:t>
      </w:r>
    </w:p>
    <w:p w14:paraId="6577137B" w14:textId="77777777" w:rsidR="00662203" w:rsidRPr="00662203" w:rsidRDefault="00662203" w:rsidP="00662203">
      <w:pPr>
        <w:ind w:left="360"/>
        <w:rPr>
          <w:sz w:val="28"/>
          <w:szCs w:val="24"/>
        </w:rPr>
      </w:pPr>
    </w:p>
    <w:p w14:paraId="37ED89A8" w14:textId="77777777" w:rsidR="00291106" w:rsidRDefault="00291106" w:rsidP="00291106">
      <w:pPr>
        <w:ind w:left="360"/>
        <w:rPr>
          <w:sz w:val="28"/>
          <w:szCs w:val="24"/>
        </w:rPr>
      </w:pPr>
      <w:r w:rsidRPr="00291106">
        <w:rPr>
          <w:sz w:val="28"/>
          <w:szCs w:val="24"/>
        </w:rPr>
        <w:t xml:space="preserve">Office of Scott Benton MP, </w:t>
      </w:r>
    </w:p>
    <w:p w14:paraId="179FA8B1" w14:textId="77777777" w:rsidR="00291106" w:rsidRDefault="00291106" w:rsidP="00291106">
      <w:pPr>
        <w:ind w:left="360"/>
        <w:rPr>
          <w:sz w:val="28"/>
          <w:szCs w:val="24"/>
        </w:rPr>
      </w:pPr>
      <w:r w:rsidRPr="00291106">
        <w:rPr>
          <w:sz w:val="28"/>
          <w:szCs w:val="24"/>
        </w:rPr>
        <w:t xml:space="preserve">Lancaster House, </w:t>
      </w:r>
    </w:p>
    <w:p w14:paraId="10656865" w14:textId="77777777" w:rsidR="00291106" w:rsidRDefault="00291106" w:rsidP="00291106">
      <w:pPr>
        <w:ind w:left="360"/>
        <w:rPr>
          <w:sz w:val="28"/>
          <w:szCs w:val="24"/>
        </w:rPr>
      </w:pPr>
      <w:r w:rsidRPr="00291106">
        <w:rPr>
          <w:sz w:val="28"/>
          <w:szCs w:val="24"/>
        </w:rPr>
        <w:t xml:space="preserve">Amy Johnson Way, </w:t>
      </w:r>
    </w:p>
    <w:p w14:paraId="10083F8D" w14:textId="63175003" w:rsidR="00291106" w:rsidRPr="00291106" w:rsidRDefault="00291106" w:rsidP="00291106">
      <w:pPr>
        <w:ind w:left="360"/>
        <w:rPr>
          <w:sz w:val="28"/>
          <w:szCs w:val="24"/>
        </w:rPr>
      </w:pPr>
      <w:r w:rsidRPr="00291106">
        <w:rPr>
          <w:sz w:val="28"/>
          <w:szCs w:val="24"/>
        </w:rPr>
        <w:t>Blackpool,</w:t>
      </w:r>
    </w:p>
    <w:p w14:paraId="277AABB6" w14:textId="1D62B459" w:rsidR="00291106" w:rsidRDefault="00291106" w:rsidP="00291106">
      <w:pPr>
        <w:ind w:left="360"/>
        <w:rPr>
          <w:sz w:val="28"/>
          <w:szCs w:val="24"/>
        </w:rPr>
      </w:pPr>
      <w:r w:rsidRPr="00291106">
        <w:rPr>
          <w:sz w:val="28"/>
          <w:szCs w:val="24"/>
        </w:rPr>
        <w:t>FY4 2RP.</w:t>
      </w:r>
    </w:p>
    <w:p w14:paraId="6EAD8303" w14:textId="77777777" w:rsidR="00291106" w:rsidRPr="00291106" w:rsidRDefault="00291106" w:rsidP="00291106">
      <w:pPr>
        <w:ind w:left="360"/>
        <w:rPr>
          <w:sz w:val="28"/>
          <w:szCs w:val="24"/>
        </w:rPr>
      </w:pPr>
    </w:p>
    <w:p w14:paraId="132F99ED" w14:textId="281A3465" w:rsidR="00662203" w:rsidRDefault="00291106" w:rsidP="00291106">
      <w:pPr>
        <w:ind w:left="360"/>
        <w:rPr>
          <w:sz w:val="28"/>
          <w:szCs w:val="24"/>
        </w:rPr>
      </w:pPr>
      <w:r w:rsidRPr="00291106">
        <w:rPr>
          <w:sz w:val="28"/>
          <w:szCs w:val="24"/>
        </w:rPr>
        <w:t>Tel: 01253 361 350</w:t>
      </w:r>
    </w:p>
    <w:p w14:paraId="46F4EBF6" w14:textId="3D0D1755" w:rsidR="00662203" w:rsidRDefault="00662203" w:rsidP="00662203">
      <w:pPr>
        <w:ind w:left="360"/>
        <w:rPr>
          <w:sz w:val="28"/>
          <w:szCs w:val="24"/>
        </w:rPr>
      </w:pPr>
    </w:p>
    <w:p w14:paraId="3A44DEFD" w14:textId="77777777" w:rsidR="00662203" w:rsidRPr="00662203" w:rsidRDefault="00662203" w:rsidP="00662203">
      <w:pPr>
        <w:ind w:left="360"/>
        <w:rPr>
          <w:sz w:val="28"/>
          <w:szCs w:val="24"/>
        </w:rPr>
      </w:pPr>
    </w:p>
    <w:sectPr w:rsidR="00662203" w:rsidRPr="0066220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9934" w14:textId="77777777" w:rsidR="00DE6E95" w:rsidRDefault="00DE6E95" w:rsidP="00662203">
      <w:r>
        <w:separator/>
      </w:r>
    </w:p>
  </w:endnote>
  <w:endnote w:type="continuationSeparator" w:id="0">
    <w:p w14:paraId="56F66A76" w14:textId="77777777" w:rsidR="00DE6E95" w:rsidRDefault="00DE6E95" w:rsidP="0066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42E0" w14:textId="77777777" w:rsidR="00662203" w:rsidRDefault="00662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2222" w14:textId="77777777" w:rsidR="00662203" w:rsidRDefault="006622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BAD7" w14:textId="77777777" w:rsidR="00662203" w:rsidRDefault="00662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7C65" w14:textId="77777777" w:rsidR="00DE6E95" w:rsidRDefault="00DE6E95" w:rsidP="00662203">
      <w:r>
        <w:separator/>
      </w:r>
    </w:p>
  </w:footnote>
  <w:footnote w:type="continuationSeparator" w:id="0">
    <w:p w14:paraId="3899CC39" w14:textId="77777777" w:rsidR="00DE6E95" w:rsidRDefault="00DE6E95" w:rsidP="00662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33E0" w14:textId="77777777" w:rsidR="00662203" w:rsidRDefault="00662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1596" w14:textId="06A706F4" w:rsidR="00662203" w:rsidRDefault="006622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1D87" w14:textId="77777777" w:rsidR="00662203" w:rsidRDefault="00662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9512F"/>
    <w:multiLevelType w:val="hybridMultilevel"/>
    <w:tmpl w:val="81064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51F89"/>
    <w:multiLevelType w:val="hybridMultilevel"/>
    <w:tmpl w:val="20AA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66D53"/>
    <w:multiLevelType w:val="hybridMultilevel"/>
    <w:tmpl w:val="B0BC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29D"/>
    <w:rsid w:val="00010594"/>
    <w:rsid w:val="00117734"/>
    <w:rsid w:val="001978CF"/>
    <w:rsid w:val="001C4B34"/>
    <w:rsid w:val="00281F32"/>
    <w:rsid w:val="00291106"/>
    <w:rsid w:val="002D136B"/>
    <w:rsid w:val="003264B6"/>
    <w:rsid w:val="00387F17"/>
    <w:rsid w:val="00431536"/>
    <w:rsid w:val="004F580B"/>
    <w:rsid w:val="00550E8D"/>
    <w:rsid w:val="005C029A"/>
    <w:rsid w:val="005D3966"/>
    <w:rsid w:val="00644BA3"/>
    <w:rsid w:val="00652CD5"/>
    <w:rsid w:val="00662203"/>
    <w:rsid w:val="00691B0E"/>
    <w:rsid w:val="006B0119"/>
    <w:rsid w:val="007927E7"/>
    <w:rsid w:val="007C14A8"/>
    <w:rsid w:val="007F71AC"/>
    <w:rsid w:val="00847BCD"/>
    <w:rsid w:val="008A382D"/>
    <w:rsid w:val="009D4484"/>
    <w:rsid w:val="00A0729D"/>
    <w:rsid w:val="00A34750"/>
    <w:rsid w:val="00A772C7"/>
    <w:rsid w:val="00B86C72"/>
    <w:rsid w:val="00BD5989"/>
    <w:rsid w:val="00C21469"/>
    <w:rsid w:val="00C22098"/>
    <w:rsid w:val="00C77DEA"/>
    <w:rsid w:val="00CE0D2D"/>
    <w:rsid w:val="00D93E18"/>
    <w:rsid w:val="00DE6E95"/>
    <w:rsid w:val="00DF4AF0"/>
    <w:rsid w:val="00E207C4"/>
    <w:rsid w:val="00E9314E"/>
    <w:rsid w:val="00EF3F9D"/>
    <w:rsid w:val="00F77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FD647E"/>
  <w15:chartTrackingRefBased/>
  <w15:docId w15:val="{F6E4051B-00D7-42A4-BB7D-35205A2F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989"/>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1978CF"/>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0D2D"/>
    <w:pPr>
      <w:keepNext/>
      <w:keepLines/>
      <w:outlineLvl w:val="1"/>
    </w:pPr>
    <w:rPr>
      <w:rFonts w:eastAsiaTheme="majorEastAsia" w:cstheme="majorBidi"/>
      <w:color w:val="000000" w:themeColor="text1"/>
      <w:sz w:val="40"/>
      <w:szCs w:val="26"/>
    </w:rPr>
  </w:style>
  <w:style w:type="paragraph" w:styleId="Heading3">
    <w:name w:val="heading 3"/>
    <w:basedOn w:val="Normal"/>
    <w:next w:val="Normal"/>
    <w:link w:val="Heading3Char"/>
    <w:uiPriority w:val="9"/>
    <w:unhideWhenUsed/>
    <w:qFormat/>
    <w:rsid w:val="00CE0D2D"/>
    <w:pPr>
      <w:keepNext/>
      <w:keepLines/>
      <w:outlineLvl w:val="2"/>
    </w:pPr>
    <w:rPr>
      <w:rFonts w:eastAsiaTheme="majorEastAsia" w:cstheme="majorBidi"/>
      <w:color w:val="000000" w:themeColor="tex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8CF"/>
    <w:rPr>
      <w:rFonts w:ascii="Times New Roman" w:eastAsiaTheme="majorEastAsia" w:hAnsi="Times New Roman" w:cstheme="majorBidi"/>
      <w:color w:val="2E74B5" w:themeColor="accent1" w:themeShade="BF"/>
      <w:sz w:val="32"/>
      <w:szCs w:val="32"/>
    </w:rPr>
  </w:style>
  <w:style w:type="character" w:customStyle="1" w:styleId="Heading2Char">
    <w:name w:val="Heading 2 Char"/>
    <w:basedOn w:val="DefaultParagraphFont"/>
    <w:link w:val="Heading2"/>
    <w:uiPriority w:val="9"/>
    <w:rsid w:val="00CE0D2D"/>
    <w:rPr>
      <w:rFonts w:ascii="Times New Roman" w:eastAsiaTheme="majorEastAsia" w:hAnsi="Times New Roman" w:cstheme="majorBidi"/>
      <w:color w:val="000000" w:themeColor="text1"/>
      <w:sz w:val="40"/>
      <w:szCs w:val="26"/>
    </w:rPr>
  </w:style>
  <w:style w:type="paragraph" w:styleId="BalloonText">
    <w:name w:val="Balloon Text"/>
    <w:basedOn w:val="Normal"/>
    <w:link w:val="BalloonTextChar"/>
    <w:uiPriority w:val="99"/>
    <w:semiHidden/>
    <w:unhideWhenUsed/>
    <w:rsid w:val="001C4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B34"/>
    <w:rPr>
      <w:rFonts w:ascii="Segoe UI" w:hAnsi="Segoe UI" w:cs="Segoe UI"/>
      <w:sz w:val="18"/>
      <w:szCs w:val="18"/>
    </w:rPr>
  </w:style>
  <w:style w:type="character" w:customStyle="1" w:styleId="Heading3Char">
    <w:name w:val="Heading 3 Char"/>
    <w:basedOn w:val="DefaultParagraphFont"/>
    <w:link w:val="Heading3"/>
    <w:uiPriority w:val="9"/>
    <w:rsid w:val="00CE0D2D"/>
    <w:rPr>
      <w:rFonts w:ascii="Times New Roman" w:eastAsiaTheme="majorEastAsia" w:hAnsi="Times New Roman" w:cstheme="majorBidi"/>
      <w:color w:val="000000" w:themeColor="text1"/>
      <w:sz w:val="32"/>
      <w:szCs w:val="24"/>
    </w:rPr>
  </w:style>
  <w:style w:type="character" w:styleId="Hyperlink">
    <w:name w:val="Hyperlink"/>
    <w:basedOn w:val="DefaultParagraphFont"/>
    <w:uiPriority w:val="99"/>
    <w:unhideWhenUsed/>
    <w:rsid w:val="00BD5989"/>
    <w:rPr>
      <w:color w:val="0563C1" w:themeColor="hyperlink"/>
      <w:u w:val="single"/>
    </w:rPr>
  </w:style>
  <w:style w:type="character" w:styleId="UnresolvedMention">
    <w:name w:val="Unresolved Mention"/>
    <w:basedOn w:val="DefaultParagraphFont"/>
    <w:uiPriority w:val="99"/>
    <w:semiHidden/>
    <w:unhideWhenUsed/>
    <w:rsid w:val="00BD5989"/>
    <w:rPr>
      <w:color w:val="605E5C"/>
      <w:shd w:val="clear" w:color="auto" w:fill="E1DFDD"/>
    </w:rPr>
  </w:style>
  <w:style w:type="paragraph" w:styleId="ListParagraph">
    <w:name w:val="List Paragraph"/>
    <w:basedOn w:val="Normal"/>
    <w:uiPriority w:val="34"/>
    <w:qFormat/>
    <w:rsid w:val="00A772C7"/>
    <w:pPr>
      <w:ind w:left="720"/>
      <w:contextualSpacing/>
    </w:pPr>
  </w:style>
  <w:style w:type="paragraph" w:styleId="Header">
    <w:name w:val="header"/>
    <w:basedOn w:val="Normal"/>
    <w:link w:val="HeaderChar"/>
    <w:uiPriority w:val="99"/>
    <w:unhideWhenUsed/>
    <w:rsid w:val="00662203"/>
    <w:pPr>
      <w:tabs>
        <w:tab w:val="center" w:pos="4513"/>
        <w:tab w:val="right" w:pos="9026"/>
      </w:tabs>
    </w:pPr>
  </w:style>
  <w:style w:type="character" w:customStyle="1" w:styleId="HeaderChar">
    <w:name w:val="Header Char"/>
    <w:basedOn w:val="DefaultParagraphFont"/>
    <w:link w:val="Header"/>
    <w:uiPriority w:val="99"/>
    <w:rsid w:val="00662203"/>
    <w:rPr>
      <w:rFonts w:ascii="Times New Roman" w:hAnsi="Times New Roman" w:cs="Times New Roman"/>
      <w:sz w:val="24"/>
    </w:rPr>
  </w:style>
  <w:style w:type="paragraph" w:styleId="Footer">
    <w:name w:val="footer"/>
    <w:basedOn w:val="Normal"/>
    <w:link w:val="FooterChar"/>
    <w:uiPriority w:val="99"/>
    <w:unhideWhenUsed/>
    <w:rsid w:val="00662203"/>
    <w:pPr>
      <w:tabs>
        <w:tab w:val="center" w:pos="4513"/>
        <w:tab w:val="right" w:pos="9026"/>
      </w:tabs>
    </w:pPr>
  </w:style>
  <w:style w:type="character" w:customStyle="1" w:styleId="FooterChar">
    <w:name w:val="Footer Char"/>
    <w:basedOn w:val="DefaultParagraphFont"/>
    <w:link w:val="Footer"/>
    <w:uiPriority w:val="99"/>
    <w:rsid w:val="00662203"/>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8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bgg.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A80E-8A76-4C62-8CAD-0B9E9CA5C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5628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Donoughue</dc:creator>
  <cp:keywords/>
  <dc:description/>
  <cp:lastModifiedBy>Steve Donoughue</cp:lastModifiedBy>
  <cp:revision>2</cp:revision>
  <cp:lastPrinted>2015-09-28T16:11:00Z</cp:lastPrinted>
  <dcterms:created xsi:type="dcterms:W3CDTF">2021-10-26T11:32:00Z</dcterms:created>
  <dcterms:modified xsi:type="dcterms:W3CDTF">2021-10-26T11:32:00Z</dcterms:modified>
</cp:coreProperties>
</file>